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E72" w:rsidRDefault="00AD7403">
      <w:pPr>
        <w:kinsoku w:val="0"/>
        <w:overflowPunct w:val="0"/>
        <w:autoSpaceDE/>
        <w:autoSpaceDN/>
        <w:adjustRightInd/>
        <w:spacing w:before="9" w:line="285" w:lineRule="exact"/>
        <w:ind w:left="72" w:right="72"/>
        <w:jc w:val="center"/>
        <w:textAlignment w:val="baseline"/>
        <w:rPr>
          <w:rFonts w:ascii="Tahoma" w:hAnsi="Tahoma" w:cs="Tahoma"/>
          <w:b/>
          <w:bCs/>
          <w:spacing w:val="11"/>
          <w:sz w:val="25"/>
          <w:szCs w:val="25"/>
          <w:lang w:val="es-ES" w:eastAsia="es-ES"/>
        </w:rPr>
      </w:pPr>
      <w:bookmarkStart w:id="0" w:name="_GoBack"/>
      <w:bookmarkEnd w:id="0"/>
      <w:r>
        <w:rPr>
          <w:rFonts w:ascii="Tahoma" w:hAnsi="Tahoma" w:cs="Tahoma"/>
          <w:b/>
          <w:bCs/>
          <w:spacing w:val="11"/>
          <w:sz w:val="25"/>
          <w:szCs w:val="25"/>
          <w:lang w:val="es-ES" w:eastAsia="es-ES"/>
        </w:rPr>
        <w:t>RESOLUCION TAT No. 2552-2015</w:t>
      </w:r>
    </w:p>
    <w:p w:rsidR="00970E72" w:rsidRDefault="00AD7403">
      <w:pPr>
        <w:kinsoku w:val="0"/>
        <w:overflowPunct w:val="0"/>
        <w:autoSpaceDE/>
        <w:autoSpaceDN/>
        <w:adjustRightInd/>
        <w:spacing w:before="584" w:line="294" w:lineRule="exact"/>
        <w:ind w:left="72" w:right="72"/>
        <w:jc w:val="both"/>
        <w:textAlignment w:val="baseline"/>
        <w:rPr>
          <w:rFonts w:ascii="Tahoma" w:hAnsi="Tahoma" w:cs="Tahoma"/>
          <w:spacing w:val="14"/>
          <w:sz w:val="25"/>
          <w:szCs w:val="25"/>
          <w:lang w:val="es-ES" w:eastAsia="es-ES"/>
        </w:rPr>
      </w:pPr>
      <w:r>
        <w:rPr>
          <w:rFonts w:ascii="Tahoma" w:hAnsi="Tahoma" w:cs="Tahoma"/>
          <w:b/>
          <w:bCs/>
          <w:spacing w:val="14"/>
          <w:sz w:val="25"/>
          <w:szCs w:val="25"/>
          <w:lang w:val="es-ES" w:eastAsia="es-ES"/>
        </w:rPr>
        <w:t xml:space="preserve">TRIBUNAL ADMINISTRATIVO DE TRANSPORTE. </w:t>
      </w:r>
      <w:r>
        <w:rPr>
          <w:rFonts w:ascii="Tahoma" w:hAnsi="Tahoma" w:cs="Tahoma"/>
          <w:spacing w:val="14"/>
          <w:sz w:val="25"/>
          <w:szCs w:val="25"/>
          <w:lang w:val="es-ES" w:eastAsia="es-ES"/>
        </w:rPr>
        <w:t>San José, a las nueve horas treinta y seis minutos del treinta de abril de dos mil quince.</w:t>
      </w:r>
    </w:p>
    <w:p w:rsidR="00970E72" w:rsidRDefault="00AD7403">
      <w:pPr>
        <w:kinsoku w:val="0"/>
        <w:overflowPunct w:val="0"/>
        <w:autoSpaceDE/>
        <w:autoSpaceDN/>
        <w:adjustRightInd/>
        <w:spacing w:before="320" w:line="294" w:lineRule="exact"/>
        <w:ind w:left="72" w:right="72"/>
        <w:jc w:val="both"/>
        <w:textAlignment w:val="baseline"/>
        <w:rPr>
          <w:rFonts w:ascii="Tahoma" w:hAnsi="Tahoma" w:cs="Tahoma"/>
          <w:b/>
          <w:bCs/>
          <w:spacing w:val="10"/>
          <w:sz w:val="25"/>
          <w:szCs w:val="25"/>
          <w:lang w:val="es-ES" w:eastAsia="es-ES"/>
        </w:rPr>
      </w:pPr>
      <w:r>
        <w:rPr>
          <w:rFonts w:ascii="Tahoma" w:hAnsi="Tahoma" w:cs="Tahoma"/>
          <w:b/>
          <w:bCs/>
          <w:spacing w:val="10"/>
          <w:sz w:val="25"/>
          <w:szCs w:val="25"/>
          <w:lang w:val="es-ES" w:eastAsia="es-ES"/>
        </w:rPr>
        <w:t xml:space="preserve">OPOSICIÓN A QUE A LA EMPRESA TRALAPA LIMITADA LE SEA APROBADA LA FLOTA CON CONTRATOS DE AUTOBUSES DENOMINADOS DE "USO TEMPORARIO", </w:t>
      </w:r>
      <w:r>
        <w:rPr>
          <w:rFonts w:ascii="Tahoma" w:hAnsi="Tahoma" w:cs="Tahoma"/>
          <w:spacing w:val="10"/>
          <w:sz w:val="25"/>
          <w:szCs w:val="25"/>
          <w:lang w:val="es-ES" w:eastAsia="es-ES"/>
        </w:rPr>
        <w:t xml:space="preserve">presentada por La </w:t>
      </w:r>
      <w:r>
        <w:rPr>
          <w:rFonts w:ascii="Tahoma" w:hAnsi="Tahoma" w:cs="Tahoma"/>
          <w:b/>
          <w:bCs/>
          <w:spacing w:val="10"/>
          <w:sz w:val="25"/>
          <w:szCs w:val="25"/>
          <w:lang w:val="es-ES" w:eastAsia="es-ES"/>
        </w:rPr>
        <w:t>E</w:t>
      </w:r>
      <w:r w:rsidR="007D4ED2">
        <w:rPr>
          <w:rFonts w:ascii="Tahoma" w:hAnsi="Tahoma" w:cs="Tahoma"/>
          <w:b/>
          <w:bCs/>
          <w:spacing w:val="10"/>
          <w:sz w:val="25"/>
          <w:szCs w:val="25"/>
          <w:lang w:val="es-ES" w:eastAsia="es-ES"/>
        </w:rPr>
        <w:t>.A.L.</w:t>
      </w:r>
      <w:r>
        <w:rPr>
          <w:rFonts w:ascii="Tahoma" w:hAnsi="Tahoma" w:cs="Tahoma"/>
          <w:b/>
          <w:bCs/>
          <w:spacing w:val="10"/>
          <w:sz w:val="25"/>
          <w:szCs w:val="25"/>
          <w:lang w:val="es-ES" w:eastAsia="es-ES"/>
        </w:rPr>
        <w:t xml:space="preserve">, cédula Jurídica número </w:t>
      </w:r>
      <w:r w:rsidR="007D4ED2">
        <w:rPr>
          <w:rFonts w:ascii="Tahoma" w:hAnsi="Tahoma" w:cs="Tahoma"/>
          <w:b/>
          <w:bCs/>
          <w:spacing w:val="10"/>
          <w:sz w:val="25"/>
          <w:szCs w:val="25"/>
          <w:lang w:val="es-ES" w:eastAsia="es-ES"/>
        </w:rPr>
        <w:t>…</w:t>
      </w:r>
      <w:r>
        <w:rPr>
          <w:rFonts w:ascii="Tahoma" w:hAnsi="Tahoma" w:cs="Tahoma"/>
          <w:b/>
          <w:bCs/>
          <w:spacing w:val="10"/>
          <w:sz w:val="25"/>
          <w:szCs w:val="25"/>
          <w:lang w:val="es-ES" w:eastAsia="es-ES"/>
        </w:rPr>
        <w:t xml:space="preserve">, </w:t>
      </w:r>
      <w:r>
        <w:rPr>
          <w:rFonts w:ascii="Tahoma" w:hAnsi="Tahoma" w:cs="Tahoma"/>
          <w:spacing w:val="10"/>
          <w:sz w:val="25"/>
          <w:szCs w:val="25"/>
          <w:lang w:val="es-ES" w:eastAsia="es-ES"/>
        </w:rPr>
        <w:t xml:space="preserve">por medio de sus Apoderados Generalísimos sin Límite de Suma, señores </w:t>
      </w:r>
      <w:r>
        <w:rPr>
          <w:rFonts w:ascii="Tahoma" w:hAnsi="Tahoma" w:cs="Tahoma"/>
          <w:b/>
          <w:bCs/>
          <w:spacing w:val="10"/>
          <w:sz w:val="25"/>
          <w:szCs w:val="25"/>
          <w:lang w:val="es-ES" w:eastAsia="es-ES"/>
        </w:rPr>
        <w:t>G</w:t>
      </w:r>
      <w:r w:rsidR="007D4ED2">
        <w:rPr>
          <w:rFonts w:ascii="Tahoma" w:hAnsi="Tahoma" w:cs="Tahoma"/>
          <w:b/>
          <w:bCs/>
          <w:spacing w:val="10"/>
          <w:sz w:val="25"/>
          <w:szCs w:val="25"/>
          <w:lang w:val="es-ES" w:eastAsia="es-ES"/>
        </w:rPr>
        <w:t>.A.C.</w:t>
      </w:r>
      <w:r>
        <w:rPr>
          <w:rFonts w:ascii="Tahoma" w:hAnsi="Tahoma" w:cs="Tahoma"/>
          <w:b/>
          <w:bCs/>
          <w:spacing w:val="10"/>
          <w:sz w:val="25"/>
          <w:szCs w:val="25"/>
          <w:lang w:val="es-ES" w:eastAsia="es-ES"/>
        </w:rPr>
        <w:t xml:space="preserve"> cédula de identidad número </w:t>
      </w:r>
      <w:r w:rsidR="007D4ED2">
        <w:rPr>
          <w:rFonts w:ascii="Tahoma" w:hAnsi="Tahoma" w:cs="Tahoma"/>
          <w:b/>
          <w:bCs/>
          <w:spacing w:val="10"/>
          <w:sz w:val="25"/>
          <w:szCs w:val="25"/>
          <w:lang w:val="es-ES" w:eastAsia="es-ES"/>
        </w:rPr>
        <w:t>…</w:t>
      </w:r>
      <w:r>
        <w:rPr>
          <w:rFonts w:ascii="Tahoma" w:hAnsi="Tahoma" w:cs="Tahoma"/>
          <w:b/>
          <w:bCs/>
          <w:spacing w:val="10"/>
          <w:sz w:val="25"/>
          <w:szCs w:val="25"/>
          <w:lang w:val="es-ES" w:eastAsia="es-ES"/>
        </w:rPr>
        <w:t xml:space="preserve"> y F</w:t>
      </w:r>
      <w:r w:rsidR="007D4ED2">
        <w:rPr>
          <w:rFonts w:ascii="Tahoma" w:hAnsi="Tahoma" w:cs="Tahoma"/>
          <w:b/>
          <w:bCs/>
          <w:spacing w:val="10"/>
          <w:sz w:val="25"/>
          <w:szCs w:val="25"/>
          <w:lang w:val="es-ES" w:eastAsia="es-ES"/>
        </w:rPr>
        <w:t>.A.H.</w:t>
      </w:r>
      <w:r>
        <w:rPr>
          <w:rFonts w:ascii="Tahoma" w:hAnsi="Tahoma" w:cs="Tahoma"/>
          <w:b/>
          <w:bCs/>
          <w:spacing w:val="10"/>
          <w:sz w:val="25"/>
          <w:szCs w:val="25"/>
          <w:lang w:val="es-ES" w:eastAsia="es-ES"/>
        </w:rPr>
        <w:t xml:space="preserve"> cédula de identidad número </w:t>
      </w:r>
      <w:r w:rsidR="007D4ED2">
        <w:rPr>
          <w:rFonts w:ascii="Tahoma" w:hAnsi="Tahoma" w:cs="Tahoma"/>
          <w:b/>
          <w:bCs/>
          <w:spacing w:val="10"/>
          <w:sz w:val="25"/>
          <w:szCs w:val="25"/>
          <w:lang w:val="es-ES" w:eastAsia="es-ES"/>
        </w:rPr>
        <w:t>..</w:t>
      </w:r>
      <w:r>
        <w:rPr>
          <w:rFonts w:ascii="Tahoma" w:hAnsi="Tahoma" w:cs="Tahoma"/>
          <w:b/>
          <w:bCs/>
          <w:spacing w:val="10"/>
          <w:sz w:val="25"/>
          <w:szCs w:val="25"/>
          <w:lang w:val="es-ES" w:eastAsia="es-ES"/>
        </w:rPr>
        <w:t xml:space="preserve">. </w:t>
      </w:r>
      <w:r>
        <w:rPr>
          <w:rFonts w:ascii="Tahoma" w:hAnsi="Tahoma" w:cs="Tahoma"/>
          <w:spacing w:val="10"/>
          <w:sz w:val="25"/>
          <w:szCs w:val="25"/>
          <w:lang w:val="es-ES" w:eastAsia="es-ES"/>
        </w:rPr>
        <w:t xml:space="preserve">El caso es tramitado en este Despacho bajo el </w:t>
      </w:r>
      <w:r>
        <w:rPr>
          <w:rFonts w:ascii="Tahoma" w:hAnsi="Tahoma" w:cs="Tahoma"/>
          <w:b/>
          <w:bCs/>
          <w:spacing w:val="10"/>
          <w:sz w:val="25"/>
          <w:szCs w:val="25"/>
          <w:lang w:val="es-ES" w:eastAsia="es-ES"/>
        </w:rPr>
        <w:t>Expediente Administrativo No. TAT-209-15.</w:t>
      </w:r>
    </w:p>
    <w:p w:rsidR="00970E72" w:rsidRDefault="00AD7403">
      <w:pPr>
        <w:kinsoku w:val="0"/>
        <w:overflowPunct w:val="0"/>
        <w:autoSpaceDE/>
        <w:autoSpaceDN/>
        <w:adjustRightInd/>
        <w:spacing w:before="297" w:line="285" w:lineRule="exact"/>
        <w:ind w:left="72" w:right="72"/>
        <w:jc w:val="center"/>
        <w:textAlignment w:val="baseline"/>
        <w:rPr>
          <w:rFonts w:ascii="Tahoma" w:hAnsi="Tahoma" w:cs="Tahoma"/>
          <w:b/>
          <w:bCs/>
          <w:spacing w:val="8"/>
          <w:sz w:val="25"/>
          <w:szCs w:val="25"/>
          <w:lang w:val="es-ES" w:eastAsia="es-ES"/>
        </w:rPr>
      </w:pPr>
      <w:r>
        <w:rPr>
          <w:rFonts w:ascii="Tahoma" w:hAnsi="Tahoma" w:cs="Tahoma"/>
          <w:b/>
          <w:bCs/>
          <w:spacing w:val="8"/>
          <w:sz w:val="25"/>
          <w:szCs w:val="25"/>
          <w:lang w:val="es-ES" w:eastAsia="es-ES"/>
        </w:rPr>
        <w:t>RESULTANDO</w:t>
      </w:r>
    </w:p>
    <w:p w:rsidR="00970E72" w:rsidRDefault="00AD7403" w:rsidP="007D4ED2">
      <w:pPr>
        <w:kinsoku w:val="0"/>
        <w:overflowPunct w:val="0"/>
        <w:autoSpaceDE/>
        <w:autoSpaceDN/>
        <w:adjustRightInd/>
        <w:spacing w:before="301" w:line="294" w:lineRule="exact"/>
        <w:ind w:left="72" w:right="72"/>
        <w:jc w:val="both"/>
        <w:textAlignment w:val="baseline"/>
        <w:rPr>
          <w:rFonts w:ascii="Tahoma" w:hAnsi="Tahoma" w:cs="Tahoma"/>
          <w:spacing w:val="11"/>
          <w:sz w:val="25"/>
          <w:szCs w:val="25"/>
          <w:lang w:val="es-ES" w:eastAsia="es-ES"/>
        </w:rPr>
      </w:pPr>
      <w:r>
        <w:rPr>
          <w:rFonts w:ascii="Tahoma" w:hAnsi="Tahoma" w:cs="Tahoma"/>
          <w:b/>
          <w:bCs/>
          <w:spacing w:val="17"/>
          <w:sz w:val="25"/>
          <w:szCs w:val="25"/>
          <w:lang w:val="es-ES" w:eastAsia="es-ES"/>
        </w:rPr>
        <w:t xml:space="preserve">PRIMERO: </w:t>
      </w:r>
      <w:r>
        <w:rPr>
          <w:rFonts w:ascii="Tahoma" w:hAnsi="Tahoma" w:cs="Tahoma"/>
          <w:spacing w:val="17"/>
          <w:sz w:val="25"/>
          <w:szCs w:val="25"/>
          <w:lang w:val="es-ES" w:eastAsia="es-ES"/>
        </w:rPr>
        <w:t xml:space="preserve">La empresa Alfaro Limitada presenta un escrito en el que se opone a que a la empresa </w:t>
      </w:r>
      <w:r>
        <w:rPr>
          <w:rFonts w:ascii="Tahoma" w:hAnsi="Tahoma" w:cs="Tahoma"/>
          <w:b/>
          <w:bCs/>
          <w:spacing w:val="17"/>
          <w:sz w:val="25"/>
          <w:szCs w:val="25"/>
          <w:lang w:val="es-ES" w:eastAsia="es-ES"/>
        </w:rPr>
        <w:t>T</w:t>
      </w:r>
      <w:r w:rsidR="007D4ED2">
        <w:rPr>
          <w:rFonts w:ascii="Tahoma" w:hAnsi="Tahoma" w:cs="Tahoma"/>
          <w:b/>
          <w:bCs/>
          <w:spacing w:val="17"/>
          <w:sz w:val="25"/>
          <w:szCs w:val="25"/>
          <w:lang w:val="es-ES" w:eastAsia="es-ES"/>
        </w:rPr>
        <w:t>.L.</w:t>
      </w:r>
      <w:r>
        <w:rPr>
          <w:rFonts w:ascii="Tahoma" w:hAnsi="Tahoma" w:cs="Tahoma"/>
          <w:b/>
          <w:bCs/>
          <w:spacing w:val="17"/>
          <w:sz w:val="25"/>
          <w:szCs w:val="25"/>
          <w:lang w:val="es-ES" w:eastAsia="es-ES"/>
        </w:rPr>
        <w:t xml:space="preserve"> </w:t>
      </w:r>
      <w:r>
        <w:rPr>
          <w:rFonts w:ascii="Tahoma" w:hAnsi="Tahoma" w:cs="Tahoma"/>
          <w:spacing w:val="17"/>
          <w:sz w:val="25"/>
          <w:szCs w:val="25"/>
          <w:lang w:val="es-ES" w:eastAsia="es-ES"/>
        </w:rPr>
        <w:t xml:space="preserve">le sea aprobada La Flota óptima con contratos de autobuses denominados de </w:t>
      </w:r>
      <w:r>
        <w:rPr>
          <w:rFonts w:ascii="Tahoma" w:hAnsi="Tahoma" w:cs="Tahoma"/>
          <w:b/>
          <w:bCs/>
          <w:spacing w:val="17"/>
          <w:sz w:val="25"/>
          <w:szCs w:val="25"/>
          <w:lang w:val="es-ES" w:eastAsia="es-ES"/>
        </w:rPr>
        <w:t xml:space="preserve">"USO TEMPORARIO". </w:t>
      </w:r>
      <w:r>
        <w:rPr>
          <w:rFonts w:ascii="Tahoma" w:hAnsi="Tahoma" w:cs="Tahoma"/>
          <w:spacing w:val="17"/>
          <w:sz w:val="25"/>
          <w:szCs w:val="25"/>
          <w:lang w:val="es-ES" w:eastAsia="es-ES"/>
        </w:rPr>
        <w:t xml:space="preserve">Aporta fotocopia de </w:t>
      </w:r>
      <w:r>
        <w:rPr>
          <w:rFonts w:ascii="Tahoma" w:hAnsi="Tahoma" w:cs="Tahoma"/>
          <w:b/>
          <w:bCs/>
          <w:spacing w:val="17"/>
          <w:sz w:val="25"/>
          <w:szCs w:val="25"/>
          <w:lang w:val="es-ES" w:eastAsia="es-ES"/>
        </w:rPr>
        <w:t>"CONTRATO DE USO</w:t>
      </w:r>
      <w:r w:rsidR="007D4ED2">
        <w:rPr>
          <w:rFonts w:ascii="Tahoma" w:hAnsi="Tahoma" w:cs="Tahoma"/>
          <w:b/>
          <w:bCs/>
          <w:spacing w:val="17"/>
          <w:sz w:val="25"/>
          <w:szCs w:val="25"/>
          <w:lang w:val="es-ES" w:eastAsia="es-ES"/>
        </w:rPr>
        <w:t xml:space="preserve"> </w:t>
      </w:r>
      <w:r>
        <w:rPr>
          <w:rFonts w:ascii="Tahoma" w:hAnsi="Tahoma" w:cs="Tahoma"/>
          <w:b/>
          <w:bCs/>
          <w:spacing w:val="11"/>
          <w:sz w:val="25"/>
          <w:szCs w:val="25"/>
          <w:lang w:val="es-ES" w:eastAsia="es-ES"/>
        </w:rPr>
        <w:t>TEMPORARIO DE BIENES MUEBLES",</w:t>
      </w:r>
      <w:r w:rsidR="007D4ED2">
        <w:rPr>
          <w:rFonts w:ascii="Tahoma" w:hAnsi="Tahoma" w:cs="Tahoma"/>
          <w:b/>
          <w:bCs/>
          <w:spacing w:val="11"/>
          <w:sz w:val="25"/>
          <w:szCs w:val="25"/>
          <w:lang w:val="es-ES" w:eastAsia="es-ES"/>
        </w:rPr>
        <w:t xml:space="preserve"> </w:t>
      </w:r>
      <w:r>
        <w:rPr>
          <w:rFonts w:ascii="Tahoma" w:hAnsi="Tahoma" w:cs="Tahoma"/>
          <w:spacing w:val="11"/>
          <w:sz w:val="25"/>
          <w:szCs w:val="25"/>
          <w:lang w:val="es-ES" w:eastAsia="es-ES"/>
        </w:rPr>
        <w:t xml:space="preserve">suscrito entre </w:t>
      </w:r>
      <w:r>
        <w:rPr>
          <w:rFonts w:ascii="Tahoma" w:hAnsi="Tahoma" w:cs="Tahoma"/>
          <w:b/>
          <w:bCs/>
          <w:spacing w:val="11"/>
          <w:sz w:val="25"/>
          <w:szCs w:val="25"/>
          <w:lang w:val="es-ES" w:eastAsia="es-ES"/>
        </w:rPr>
        <w:t>T</w:t>
      </w:r>
      <w:r w:rsidR="007D4ED2">
        <w:rPr>
          <w:rFonts w:ascii="Tahoma" w:hAnsi="Tahoma" w:cs="Tahoma"/>
          <w:b/>
          <w:bCs/>
          <w:spacing w:val="11"/>
          <w:sz w:val="25"/>
          <w:szCs w:val="25"/>
          <w:lang w:val="es-ES" w:eastAsia="es-ES"/>
        </w:rPr>
        <w:t>.T.S.A.</w:t>
      </w:r>
      <w:r>
        <w:rPr>
          <w:rFonts w:ascii="Tahoma" w:hAnsi="Tahoma" w:cs="Tahoma"/>
          <w:b/>
          <w:bCs/>
          <w:spacing w:val="11"/>
          <w:sz w:val="25"/>
          <w:szCs w:val="25"/>
          <w:lang w:val="es-ES" w:eastAsia="es-ES"/>
        </w:rPr>
        <w:t xml:space="preserve"> y T</w:t>
      </w:r>
      <w:r w:rsidR="007D4ED2">
        <w:rPr>
          <w:rFonts w:ascii="Tahoma" w:hAnsi="Tahoma" w:cs="Tahoma"/>
          <w:b/>
          <w:bCs/>
          <w:spacing w:val="11"/>
          <w:sz w:val="25"/>
          <w:szCs w:val="25"/>
          <w:lang w:val="es-ES" w:eastAsia="es-ES"/>
        </w:rPr>
        <w:t>.L.</w:t>
      </w:r>
      <w:r>
        <w:rPr>
          <w:rFonts w:ascii="Tahoma" w:hAnsi="Tahoma" w:cs="Tahoma"/>
          <w:b/>
          <w:bCs/>
          <w:spacing w:val="11"/>
          <w:sz w:val="25"/>
          <w:szCs w:val="25"/>
          <w:lang w:val="es-ES" w:eastAsia="es-ES"/>
        </w:rPr>
        <w:t xml:space="preserve">, </w:t>
      </w:r>
      <w:r>
        <w:rPr>
          <w:rFonts w:ascii="Tahoma" w:hAnsi="Tahoma" w:cs="Tahoma"/>
          <w:spacing w:val="11"/>
          <w:sz w:val="25"/>
          <w:szCs w:val="25"/>
          <w:lang w:val="es-ES" w:eastAsia="es-ES"/>
        </w:rPr>
        <w:t xml:space="preserve">así como fotocopia de </w:t>
      </w:r>
      <w:r>
        <w:rPr>
          <w:rFonts w:ascii="Tahoma" w:hAnsi="Tahoma" w:cs="Tahoma"/>
          <w:b/>
          <w:bCs/>
          <w:spacing w:val="11"/>
          <w:sz w:val="25"/>
          <w:szCs w:val="25"/>
          <w:lang w:val="es-ES" w:eastAsia="es-ES"/>
        </w:rPr>
        <w:t>"CONTRATO DE</w:t>
      </w:r>
      <w:r w:rsidR="007D4ED2">
        <w:rPr>
          <w:rFonts w:ascii="Tahoma" w:hAnsi="Tahoma" w:cs="Tahoma"/>
          <w:b/>
          <w:bCs/>
          <w:spacing w:val="11"/>
          <w:sz w:val="25"/>
          <w:szCs w:val="25"/>
          <w:lang w:val="es-ES" w:eastAsia="es-ES"/>
        </w:rPr>
        <w:t xml:space="preserve"> A</w:t>
      </w:r>
      <w:r>
        <w:rPr>
          <w:rFonts w:ascii="Tahoma" w:hAnsi="Tahoma" w:cs="Tahoma"/>
          <w:b/>
          <w:bCs/>
          <w:spacing w:val="11"/>
          <w:sz w:val="25"/>
          <w:szCs w:val="25"/>
          <w:lang w:val="es-ES" w:eastAsia="es-ES"/>
        </w:rPr>
        <w:t xml:space="preserve">RRENDAMIENTO DE AUTOBUSES" </w:t>
      </w:r>
      <w:r>
        <w:rPr>
          <w:rFonts w:ascii="Tahoma" w:hAnsi="Tahoma" w:cs="Tahoma"/>
          <w:spacing w:val="11"/>
          <w:sz w:val="25"/>
          <w:szCs w:val="25"/>
          <w:lang w:val="es-ES" w:eastAsia="es-ES"/>
        </w:rPr>
        <w:t>entre las mismas empresas indicadas. (Léanse folios del 7 al 15 del expediente administrativo)</w:t>
      </w:r>
    </w:p>
    <w:p w:rsidR="00970E72" w:rsidRDefault="00AD7403">
      <w:pPr>
        <w:kinsoku w:val="0"/>
        <w:overflowPunct w:val="0"/>
        <w:autoSpaceDE/>
        <w:autoSpaceDN/>
        <w:adjustRightInd/>
        <w:spacing w:before="314" w:line="294" w:lineRule="exact"/>
        <w:ind w:left="72" w:right="72"/>
        <w:jc w:val="both"/>
        <w:textAlignment w:val="baseline"/>
        <w:rPr>
          <w:rFonts w:ascii="Tahoma" w:hAnsi="Tahoma" w:cs="Tahoma"/>
          <w:spacing w:val="12"/>
          <w:sz w:val="25"/>
          <w:szCs w:val="25"/>
          <w:lang w:val="es-ES" w:eastAsia="es-ES"/>
        </w:rPr>
      </w:pPr>
      <w:r>
        <w:rPr>
          <w:rFonts w:ascii="Tahoma" w:hAnsi="Tahoma" w:cs="Tahoma"/>
          <w:b/>
          <w:bCs/>
          <w:spacing w:val="12"/>
          <w:sz w:val="25"/>
          <w:szCs w:val="25"/>
          <w:lang w:val="es-ES" w:eastAsia="es-ES"/>
        </w:rPr>
        <w:t xml:space="preserve">SEGUNDO: </w:t>
      </w:r>
      <w:r>
        <w:rPr>
          <w:rFonts w:ascii="Tahoma" w:hAnsi="Tahoma" w:cs="Tahoma"/>
          <w:spacing w:val="12"/>
          <w:sz w:val="25"/>
          <w:szCs w:val="25"/>
          <w:lang w:val="es-ES" w:eastAsia="es-ES"/>
        </w:rPr>
        <w:t xml:space="preserve">La Dirección de Asuntos Jurídicos del Consejo de Transporte Público analiza el escrito de oposición indicado y mediante </w:t>
      </w:r>
      <w:r>
        <w:rPr>
          <w:rFonts w:ascii="Tahoma" w:hAnsi="Tahoma" w:cs="Tahoma"/>
          <w:b/>
          <w:bCs/>
          <w:spacing w:val="12"/>
          <w:sz w:val="25"/>
          <w:szCs w:val="25"/>
          <w:lang w:val="es-ES" w:eastAsia="es-ES"/>
        </w:rPr>
        <w:t xml:space="preserve">informe DAJ-2014003250 del 29 de agosto del 2014, </w:t>
      </w:r>
      <w:r>
        <w:rPr>
          <w:rFonts w:ascii="Tahoma" w:hAnsi="Tahoma" w:cs="Tahoma"/>
          <w:spacing w:val="12"/>
          <w:sz w:val="25"/>
          <w:szCs w:val="25"/>
          <w:lang w:val="es-ES" w:eastAsia="es-ES"/>
        </w:rPr>
        <w:t>recomienda a la Junta Directiva del Consejo rechazar la gestión indicada por dos razones; primero que por existir falta de Legitimación de la recurrente y segundo por no tratarse de un recurso contra acto final alguno del Consejo de Transporte Público. Dado que la gestión no es un Recurso Administrativo contra un acto final la Dirección Jurídica no recomienda elevar al Tribunal la misma. (Léanse folios del 3 al 5 del expediente administrativo).</w:t>
      </w:r>
    </w:p>
    <w:p w:rsidR="00970E72" w:rsidRDefault="00970E72">
      <w:pPr>
        <w:widowControl/>
        <w:rPr>
          <w:sz w:val="24"/>
          <w:szCs w:val="24"/>
        </w:rPr>
        <w:sectPr w:rsidR="00970E72">
          <w:pgSz w:w="12134" w:h="15840"/>
          <w:pgMar w:top="1380" w:right="1506" w:bottom="240" w:left="1568" w:header="720" w:footer="720" w:gutter="0"/>
          <w:cols w:space="720"/>
          <w:noEndnote/>
        </w:sectPr>
      </w:pPr>
    </w:p>
    <w:p w:rsidR="001814CB" w:rsidRDefault="001814CB">
      <w:pPr>
        <w:kinsoku w:val="0"/>
        <w:overflowPunct w:val="0"/>
        <w:autoSpaceDE/>
        <w:autoSpaceDN/>
        <w:adjustRightInd/>
        <w:spacing w:before="32" w:line="295" w:lineRule="exact"/>
        <w:ind w:left="72" w:right="36"/>
        <w:jc w:val="both"/>
        <w:textAlignment w:val="baseline"/>
        <w:rPr>
          <w:rFonts w:ascii="Verdana" w:hAnsi="Verdana" w:cs="Verdana"/>
          <w:b/>
          <w:bCs/>
          <w:spacing w:val="1"/>
          <w:sz w:val="24"/>
          <w:szCs w:val="24"/>
          <w:lang w:val="es-ES" w:eastAsia="es-ES"/>
        </w:rPr>
      </w:pPr>
    </w:p>
    <w:p w:rsidR="00970E72" w:rsidRDefault="00AD7403">
      <w:pPr>
        <w:kinsoku w:val="0"/>
        <w:overflowPunct w:val="0"/>
        <w:autoSpaceDE/>
        <w:autoSpaceDN/>
        <w:adjustRightInd/>
        <w:spacing w:before="32" w:line="295" w:lineRule="exact"/>
        <w:ind w:left="72" w:right="36"/>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TERCERO: </w:t>
      </w:r>
      <w:r>
        <w:rPr>
          <w:rFonts w:ascii="Verdana" w:hAnsi="Verdana" w:cs="Verdana"/>
          <w:spacing w:val="1"/>
          <w:sz w:val="24"/>
          <w:szCs w:val="24"/>
          <w:lang w:val="es-ES" w:eastAsia="es-ES"/>
        </w:rPr>
        <w:t xml:space="preserve">La Junta Directiva del Consejo de Transporte Público, mediante acuerdo </w:t>
      </w:r>
      <w:r>
        <w:rPr>
          <w:rFonts w:ascii="Verdana" w:hAnsi="Verdana" w:cs="Verdana"/>
          <w:b/>
          <w:bCs/>
          <w:spacing w:val="1"/>
          <w:sz w:val="24"/>
          <w:szCs w:val="24"/>
          <w:lang w:val="es-ES" w:eastAsia="es-ES"/>
        </w:rPr>
        <w:t xml:space="preserve">7.7 de la Sesión Ordinaria 71-2014 del 26 de noviembre de 2014, </w:t>
      </w:r>
      <w:r>
        <w:rPr>
          <w:rFonts w:ascii="Verdana" w:hAnsi="Verdana" w:cs="Verdana"/>
          <w:spacing w:val="1"/>
          <w:sz w:val="24"/>
          <w:szCs w:val="24"/>
          <w:lang w:val="es-ES" w:eastAsia="es-ES"/>
        </w:rPr>
        <w:t xml:space="preserve">conoce y avala informes de la Dirección de Asuntos Jurídicos entre éstos el informe técnico </w:t>
      </w:r>
      <w:r>
        <w:rPr>
          <w:rFonts w:ascii="Verdana" w:hAnsi="Verdana" w:cs="Verdana"/>
          <w:b/>
          <w:bCs/>
          <w:spacing w:val="1"/>
          <w:sz w:val="24"/>
          <w:szCs w:val="24"/>
          <w:lang w:val="es-ES" w:eastAsia="es-ES"/>
        </w:rPr>
        <w:t xml:space="preserve">DAJ-2014003250 del 29 de agosto del 2014 </w:t>
      </w:r>
      <w:r>
        <w:rPr>
          <w:rFonts w:ascii="Verdana" w:hAnsi="Verdana" w:cs="Verdana"/>
          <w:spacing w:val="1"/>
          <w:sz w:val="24"/>
          <w:szCs w:val="24"/>
          <w:lang w:val="es-ES" w:eastAsia="es-ES"/>
        </w:rPr>
        <w:t>y se eleva la gestión ante el Tribunal Administrativo de Transporte. (Léase folios 1 y 2 del expediente administrativo)</w:t>
      </w:r>
    </w:p>
    <w:p w:rsidR="00970E72" w:rsidRDefault="00AD7403">
      <w:pPr>
        <w:kinsoku w:val="0"/>
        <w:overflowPunct w:val="0"/>
        <w:autoSpaceDE/>
        <w:autoSpaceDN/>
        <w:adjustRightInd/>
        <w:spacing w:before="235" w:line="295" w:lineRule="exact"/>
        <w:ind w:left="72" w:right="36"/>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En los procedimientos seguidos se han observado las prescripciones legales.</w:t>
      </w:r>
    </w:p>
    <w:p w:rsidR="00970E72" w:rsidRDefault="00AD7403">
      <w:pPr>
        <w:kinsoku w:val="0"/>
        <w:overflowPunct w:val="0"/>
        <w:autoSpaceDE/>
        <w:autoSpaceDN/>
        <w:adjustRightInd/>
        <w:spacing w:before="302" w:line="289" w:lineRule="exact"/>
        <w:ind w:left="72" w:right="36"/>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la Jueza Pérez Peláez; y,</w:t>
      </w:r>
    </w:p>
    <w:p w:rsidR="00970E72" w:rsidRDefault="00AD7403">
      <w:pPr>
        <w:kinsoku w:val="0"/>
        <w:overflowPunct w:val="0"/>
        <w:autoSpaceDE/>
        <w:autoSpaceDN/>
        <w:adjustRightInd/>
        <w:spacing w:before="601" w:line="289" w:lineRule="exact"/>
        <w:ind w:left="72" w:right="36"/>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 UNICO</w:t>
      </w:r>
    </w:p>
    <w:p w:rsidR="00970E72" w:rsidRDefault="00AD7403">
      <w:pPr>
        <w:kinsoku w:val="0"/>
        <w:overflowPunct w:val="0"/>
        <w:autoSpaceDE/>
        <w:autoSpaceDN/>
        <w:adjustRightInd/>
        <w:spacing w:before="302" w:line="295" w:lineRule="exact"/>
        <w:ind w:left="72" w:right="36"/>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Debe procederse al archivo del presente asunto, ya que la gestión presentada por la empresa </w:t>
      </w:r>
      <w:r>
        <w:rPr>
          <w:rFonts w:ascii="Verdana" w:hAnsi="Verdana" w:cs="Verdana"/>
          <w:b/>
          <w:bCs/>
          <w:sz w:val="24"/>
          <w:szCs w:val="24"/>
          <w:lang w:val="es-ES" w:eastAsia="es-ES"/>
        </w:rPr>
        <w:t>A</w:t>
      </w:r>
      <w:r w:rsidR="001814CB">
        <w:rPr>
          <w:rFonts w:ascii="Verdana" w:hAnsi="Verdana" w:cs="Verdana"/>
          <w:b/>
          <w:bCs/>
          <w:sz w:val="24"/>
          <w:szCs w:val="24"/>
          <w:lang w:val="es-ES" w:eastAsia="es-ES"/>
        </w:rPr>
        <w:t>.L.</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no corresponde a un recurso de Ordinario de Revocatoria con Apelación en subsidio sino a una simple oposición como lo indica en su escrito a que a la empresa </w:t>
      </w:r>
      <w:r>
        <w:rPr>
          <w:rFonts w:ascii="Verdana" w:hAnsi="Verdana" w:cs="Verdana"/>
          <w:b/>
          <w:bCs/>
          <w:sz w:val="24"/>
          <w:szCs w:val="24"/>
          <w:lang w:val="es-ES" w:eastAsia="es-ES"/>
        </w:rPr>
        <w:t>T</w:t>
      </w:r>
      <w:r w:rsidR="001814CB">
        <w:rPr>
          <w:rFonts w:ascii="Verdana" w:hAnsi="Verdana" w:cs="Verdana"/>
          <w:b/>
          <w:bCs/>
          <w:sz w:val="24"/>
          <w:szCs w:val="24"/>
          <w:lang w:val="es-ES" w:eastAsia="es-ES"/>
        </w:rPr>
        <w:t>.L.</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le sea aprobada la flota con contratos de autobuses denominados de </w:t>
      </w:r>
      <w:r>
        <w:rPr>
          <w:rFonts w:ascii="Verdana" w:hAnsi="Verdana" w:cs="Verdana"/>
          <w:b/>
          <w:bCs/>
          <w:sz w:val="24"/>
          <w:szCs w:val="24"/>
          <w:lang w:val="es-ES" w:eastAsia="es-ES"/>
        </w:rPr>
        <w:t>"USO TEMPORARIO".</w:t>
      </w:r>
    </w:p>
    <w:p w:rsidR="00970E72" w:rsidRDefault="00AD7403">
      <w:pPr>
        <w:kinsoku w:val="0"/>
        <w:overflowPunct w:val="0"/>
        <w:autoSpaceDE/>
        <w:autoSpaceDN/>
        <w:adjustRightInd/>
        <w:spacing w:before="292" w:line="295" w:lineRule="exact"/>
        <w:ind w:left="72" w:right="36"/>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Dicha gestión fue analizada por la Dirección de Asuntos Jurídicos del Consejo de Transporte Público y esta mediante </w:t>
      </w:r>
      <w:r>
        <w:rPr>
          <w:rFonts w:ascii="Verdana" w:hAnsi="Verdana" w:cs="Verdana"/>
          <w:b/>
          <w:bCs/>
          <w:sz w:val="24"/>
          <w:szCs w:val="24"/>
          <w:lang w:val="es-ES" w:eastAsia="es-ES"/>
        </w:rPr>
        <w:t xml:space="preserve">informe DM-2014003250 del 29 de agosto del 2014, </w:t>
      </w:r>
      <w:r>
        <w:rPr>
          <w:rFonts w:ascii="Verdana" w:hAnsi="Verdana" w:cs="Verdana"/>
          <w:sz w:val="24"/>
          <w:szCs w:val="24"/>
          <w:lang w:val="es-ES" w:eastAsia="es-ES"/>
        </w:rPr>
        <w:t>recomienda a la Junta Directiva del Consejo rechazar la gestión indicada por dos razones; primero que por existir falta de Legitimación de la recurrente y segundo por no tratarse de un recurso contra acto final alguno del Consejo de Transporte Público. Así mismo queda claro de dicho informe que en ningún momento se le recomienda a la Junta Directiva Elevar el asunto a conocimiento del Tribunal Administrativo de Transporte.</w:t>
      </w:r>
    </w:p>
    <w:p w:rsidR="00970E72" w:rsidRDefault="00AD7403" w:rsidP="001814CB">
      <w:pPr>
        <w:tabs>
          <w:tab w:val="right" w:pos="9000"/>
        </w:tabs>
        <w:kinsoku w:val="0"/>
        <w:overflowPunct w:val="0"/>
        <w:autoSpaceDE/>
        <w:autoSpaceDN/>
        <w:adjustRightInd/>
        <w:spacing w:before="290" w:line="295" w:lineRule="exact"/>
        <w:ind w:left="72" w:right="36"/>
        <w:jc w:val="both"/>
        <w:textAlignment w:val="baseline"/>
        <w:rPr>
          <w:rFonts w:ascii="Verdana" w:hAnsi="Verdana" w:cs="Verdana"/>
          <w:sz w:val="24"/>
          <w:szCs w:val="24"/>
          <w:lang w:val="es-ES" w:eastAsia="es-ES"/>
        </w:rPr>
      </w:pPr>
      <w:r>
        <w:rPr>
          <w:rFonts w:ascii="Verdana" w:hAnsi="Verdana" w:cs="Verdana"/>
          <w:sz w:val="24"/>
          <w:szCs w:val="24"/>
          <w:lang w:val="es-ES" w:eastAsia="es-ES"/>
        </w:rPr>
        <w:t>De conformidad con el numeral 22 de</w:t>
      </w:r>
      <w:r w:rsidR="001814CB">
        <w:rPr>
          <w:rFonts w:ascii="Verdana" w:hAnsi="Verdana" w:cs="Verdana"/>
          <w:sz w:val="24"/>
          <w:szCs w:val="24"/>
          <w:lang w:val="es-ES" w:eastAsia="es-ES"/>
        </w:rPr>
        <w:t xml:space="preserve"> </w:t>
      </w:r>
      <w:r>
        <w:rPr>
          <w:rFonts w:ascii="Verdana" w:hAnsi="Verdana" w:cs="Verdana"/>
          <w:sz w:val="24"/>
          <w:szCs w:val="24"/>
          <w:lang w:val="es-ES" w:eastAsia="es-ES"/>
        </w:rPr>
        <w:t>La Ley de Transporte</w:t>
      </w:r>
      <w:r w:rsidR="001814CB">
        <w:rPr>
          <w:rFonts w:ascii="Verdana" w:hAnsi="Verdana" w:cs="Verdana"/>
          <w:sz w:val="24"/>
          <w:szCs w:val="24"/>
          <w:lang w:val="es-ES" w:eastAsia="es-ES"/>
        </w:rPr>
        <w:t xml:space="preserve"> </w:t>
      </w:r>
      <w:r>
        <w:rPr>
          <w:rFonts w:ascii="Verdana" w:hAnsi="Verdana" w:cs="Verdana"/>
          <w:sz w:val="24"/>
          <w:szCs w:val="24"/>
          <w:lang w:val="es-ES" w:eastAsia="es-ES"/>
        </w:rPr>
        <w:t>Remunerado de Personas en Vehículos en la Modalidad de Taxi, N. 7969 del 22 de diciembre de 1999, el Tribunal es competente:</w:t>
      </w:r>
    </w:p>
    <w:p w:rsidR="00970E72" w:rsidRDefault="00AD7403">
      <w:pPr>
        <w:kinsoku w:val="0"/>
        <w:overflowPunct w:val="0"/>
        <w:autoSpaceDE/>
        <w:autoSpaceDN/>
        <w:adjustRightInd/>
        <w:spacing w:before="288" w:line="297" w:lineRule="exact"/>
        <w:ind w:left="504" w:right="36"/>
        <w:textAlignment w:val="baseline"/>
        <w:rPr>
          <w:rFonts w:ascii="Verdana" w:hAnsi="Verdana" w:cs="Verdana"/>
          <w:i/>
          <w:iCs/>
          <w:sz w:val="24"/>
          <w:szCs w:val="24"/>
          <w:lang w:val="es-ES" w:eastAsia="es-ES"/>
        </w:rPr>
      </w:pPr>
      <w:r>
        <w:rPr>
          <w:rFonts w:ascii="Verdana" w:hAnsi="Verdana" w:cs="Verdana"/>
          <w:i/>
          <w:iCs/>
          <w:sz w:val="24"/>
          <w:szCs w:val="24"/>
          <w:lang w:val="es-ES" w:eastAsia="es-ES"/>
        </w:rPr>
        <w:t>"ARTÍCULO 22.- Competencia del Tribunal</w:t>
      </w:r>
    </w:p>
    <w:p w:rsidR="00970E72" w:rsidRDefault="00AD7403">
      <w:pPr>
        <w:kinsoku w:val="0"/>
        <w:overflowPunct w:val="0"/>
        <w:autoSpaceDE/>
        <w:autoSpaceDN/>
        <w:adjustRightInd/>
        <w:spacing w:line="293" w:lineRule="exact"/>
        <w:ind w:left="504" w:right="36"/>
        <w:textAlignment w:val="baseline"/>
        <w:rPr>
          <w:rFonts w:ascii="Verdana" w:hAnsi="Verdana" w:cs="Verdana"/>
          <w:i/>
          <w:iCs/>
          <w:sz w:val="24"/>
          <w:szCs w:val="24"/>
          <w:lang w:val="es-ES" w:eastAsia="es-ES"/>
        </w:rPr>
      </w:pPr>
      <w:r>
        <w:rPr>
          <w:rFonts w:ascii="Verdana" w:hAnsi="Verdana" w:cs="Verdana"/>
          <w:i/>
          <w:iCs/>
          <w:sz w:val="24"/>
          <w:szCs w:val="24"/>
          <w:lang w:val="es-ES" w:eastAsia="es-ES"/>
        </w:rPr>
        <w:t>El Tribunal será competente para lo siguiente:</w:t>
      </w:r>
    </w:p>
    <w:p w:rsidR="00970E72" w:rsidRDefault="00AD7403">
      <w:pPr>
        <w:numPr>
          <w:ilvl w:val="0"/>
          <w:numId w:val="1"/>
        </w:numPr>
        <w:kinsoku w:val="0"/>
        <w:overflowPunct w:val="0"/>
        <w:autoSpaceDE/>
        <w:autoSpaceDN/>
        <w:adjustRightInd/>
        <w:spacing w:before="282" w:line="295" w:lineRule="exact"/>
        <w:ind w:right="432"/>
        <w:jc w:val="both"/>
        <w:textAlignment w:val="baseline"/>
        <w:rPr>
          <w:rFonts w:ascii="Verdana" w:hAnsi="Verdana" w:cs="Verdana"/>
          <w:b/>
          <w:bCs/>
          <w:i/>
          <w:iCs/>
          <w:sz w:val="24"/>
          <w:szCs w:val="24"/>
          <w:lang w:val="es-ES" w:eastAsia="es-ES"/>
        </w:rPr>
      </w:pPr>
      <w:r>
        <w:rPr>
          <w:rFonts w:ascii="Verdana" w:hAnsi="Verdana" w:cs="Verdana"/>
          <w:b/>
          <w:bCs/>
          <w:i/>
          <w:iCs/>
          <w:sz w:val="24"/>
          <w:szCs w:val="24"/>
          <w:lang w:val="es-ES" w:eastAsia="es-ES"/>
        </w:rPr>
        <w:t>Conocer y resolver, en sede administrativa, los recursos de apelación que se interpongan contra cualquier acto o resolución del Consejo.</w:t>
      </w:r>
    </w:p>
    <w:p w:rsidR="00970E72" w:rsidRDefault="00AD7403">
      <w:pPr>
        <w:numPr>
          <w:ilvl w:val="0"/>
          <w:numId w:val="2"/>
        </w:numPr>
        <w:kinsoku w:val="0"/>
        <w:overflowPunct w:val="0"/>
        <w:autoSpaceDE/>
        <w:autoSpaceDN/>
        <w:adjustRightInd/>
        <w:spacing w:before="16" w:line="297" w:lineRule="exact"/>
        <w:ind w:right="432"/>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Establecer, en vía administrativa, las indemnizaciones que puedan originarse en relación con los daños producidos por violaciones de la legislación del transporte público.</w:t>
      </w:r>
    </w:p>
    <w:p w:rsidR="00970E72" w:rsidRDefault="00AD7403">
      <w:pPr>
        <w:numPr>
          <w:ilvl w:val="0"/>
          <w:numId w:val="2"/>
        </w:numPr>
        <w:kinsoku w:val="0"/>
        <w:overflowPunct w:val="0"/>
        <w:autoSpaceDE/>
        <w:autoSpaceDN/>
        <w:adjustRightInd/>
        <w:spacing w:line="292" w:lineRule="exact"/>
        <w:ind w:right="432"/>
        <w:jc w:val="both"/>
        <w:textAlignment w:val="baseline"/>
        <w:rPr>
          <w:rFonts w:ascii="Verdana" w:hAnsi="Verdana" w:cs="Verdana"/>
          <w:i/>
          <w:iCs/>
          <w:spacing w:val="-1"/>
          <w:sz w:val="24"/>
          <w:szCs w:val="24"/>
          <w:lang w:val="es-ES" w:eastAsia="es-ES"/>
        </w:rPr>
      </w:pPr>
      <w:r>
        <w:rPr>
          <w:rFonts w:ascii="Verdana" w:hAnsi="Verdana" w:cs="Verdana"/>
          <w:i/>
          <w:iCs/>
          <w:spacing w:val="-1"/>
          <w:sz w:val="24"/>
          <w:szCs w:val="24"/>
          <w:lang w:val="es-ES" w:eastAsia="es-ES"/>
        </w:rPr>
        <w:t xml:space="preserve">Las resoluciones del </w:t>
      </w:r>
      <w:r>
        <w:rPr>
          <w:rFonts w:ascii="Verdana" w:hAnsi="Verdana" w:cs="Verdana"/>
          <w:b/>
          <w:bCs/>
          <w:i/>
          <w:iCs/>
          <w:spacing w:val="-1"/>
          <w:sz w:val="24"/>
          <w:szCs w:val="24"/>
          <w:lang w:val="es-ES" w:eastAsia="es-ES"/>
        </w:rPr>
        <w:t xml:space="preserve">Tribunal </w:t>
      </w:r>
      <w:r>
        <w:rPr>
          <w:rFonts w:ascii="Verdana" w:hAnsi="Verdana" w:cs="Verdana"/>
          <w:i/>
          <w:iCs/>
          <w:spacing w:val="-1"/>
          <w:sz w:val="24"/>
          <w:szCs w:val="24"/>
          <w:lang w:val="es-ES" w:eastAsia="es-ES"/>
        </w:rPr>
        <w:t>no tendrán más recursos y darán por agotada la vía administrativa." ( el resaltado es nuestro)</w:t>
      </w:r>
    </w:p>
    <w:p w:rsidR="00970E72" w:rsidRDefault="00970E72">
      <w:pPr>
        <w:widowControl/>
        <w:rPr>
          <w:sz w:val="24"/>
          <w:szCs w:val="24"/>
        </w:rPr>
        <w:sectPr w:rsidR="00970E72" w:rsidSect="001814CB">
          <w:pgSz w:w="12134" w:h="15840"/>
          <w:pgMar w:top="567" w:right="1527" w:bottom="250" w:left="1547" w:header="720" w:footer="720" w:gutter="0"/>
          <w:cols w:space="720"/>
          <w:noEndnote/>
        </w:sectPr>
      </w:pPr>
    </w:p>
    <w:p w:rsidR="00970E72" w:rsidRDefault="00AD7403">
      <w:pPr>
        <w:kinsoku w:val="0"/>
        <w:overflowPunct w:val="0"/>
        <w:autoSpaceDE/>
        <w:autoSpaceDN/>
        <w:adjustRightInd/>
        <w:spacing w:line="293" w:lineRule="exact"/>
        <w:ind w:left="144"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Como se puede verificar de lo dicho el órgano de alzada, tiene la competencia para conocer de los Recursos de Apelación que se presenten contra los actos del Consejo de Transporte Público, sin embargo, en el presente asunto es claro que la Junta Directiva del Consejo de Transporte Público, por error procede a elevar a este colegiado la gestión presentada, sin que correspondiera hacerlo.</w:t>
      </w:r>
    </w:p>
    <w:p w:rsidR="00970E72" w:rsidRDefault="00AD7403">
      <w:pPr>
        <w:kinsoku w:val="0"/>
        <w:overflowPunct w:val="0"/>
        <w:autoSpaceDE/>
        <w:autoSpaceDN/>
        <w:adjustRightInd/>
        <w:spacing w:before="595" w:line="291" w:lineRule="exact"/>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POR TANTO</w:t>
      </w:r>
    </w:p>
    <w:p w:rsidR="00970E72" w:rsidRDefault="00AD7403">
      <w:pPr>
        <w:numPr>
          <w:ilvl w:val="0"/>
          <w:numId w:val="3"/>
        </w:numPr>
        <w:kinsoku w:val="0"/>
        <w:overflowPunct w:val="0"/>
        <w:autoSpaceDE/>
        <w:autoSpaceDN/>
        <w:adjustRightInd/>
        <w:spacing w:before="308" w:line="295" w:lineRule="exact"/>
        <w:ind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Se ordena el archivo por mal elevado la gestión denominada </w:t>
      </w:r>
      <w:r>
        <w:rPr>
          <w:rFonts w:ascii="Verdana" w:hAnsi="Verdana" w:cs="Verdana"/>
          <w:b/>
          <w:bCs/>
          <w:sz w:val="24"/>
          <w:szCs w:val="24"/>
          <w:lang w:val="es-ES" w:eastAsia="es-ES"/>
        </w:rPr>
        <w:t xml:space="preserve">OPOSICIÓN A QUE A LA EMPRESA TRALAPA LIMITADA LE SEA APROBADA LA FLOTA CON CONTRATOS DE AUTOBUSES DENOMINADOS DE "USO TEMPORARIO", </w:t>
      </w:r>
      <w:r>
        <w:rPr>
          <w:rFonts w:ascii="Verdana" w:hAnsi="Verdana" w:cs="Verdana"/>
          <w:sz w:val="24"/>
          <w:szCs w:val="24"/>
          <w:lang w:val="es-ES" w:eastAsia="es-ES"/>
        </w:rPr>
        <w:t xml:space="preserve">presentada por La </w:t>
      </w:r>
      <w:r>
        <w:rPr>
          <w:rFonts w:ascii="Verdana" w:hAnsi="Verdana" w:cs="Verdana"/>
          <w:b/>
          <w:bCs/>
          <w:sz w:val="24"/>
          <w:szCs w:val="24"/>
          <w:lang w:val="es-ES" w:eastAsia="es-ES"/>
        </w:rPr>
        <w:t>E</w:t>
      </w:r>
      <w:r w:rsidR="001814CB">
        <w:rPr>
          <w:rFonts w:ascii="Verdana" w:hAnsi="Verdana" w:cs="Verdana"/>
          <w:b/>
          <w:bCs/>
          <w:sz w:val="24"/>
          <w:szCs w:val="24"/>
          <w:lang w:val="es-ES" w:eastAsia="es-ES"/>
        </w:rPr>
        <w:t>.A.L.</w:t>
      </w:r>
      <w:r>
        <w:rPr>
          <w:rFonts w:ascii="Verdana" w:hAnsi="Verdana" w:cs="Verdana"/>
          <w:b/>
          <w:bCs/>
          <w:sz w:val="24"/>
          <w:szCs w:val="24"/>
          <w:lang w:val="es-ES" w:eastAsia="es-ES"/>
        </w:rPr>
        <w:t xml:space="preserve">, cédula Jurídica número </w:t>
      </w:r>
      <w:r w:rsidR="001814CB">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sus Apoderados Generalísimos sin Límite de Suma, señores </w:t>
      </w:r>
      <w:r>
        <w:rPr>
          <w:rFonts w:ascii="Verdana" w:hAnsi="Verdana" w:cs="Verdana"/>
          <w:b/>
          <w:bCs/>
          <w:sz w:val="24"/>
          <w:szCs w:val="24"/>
          <w:lang w:val="es-ES" w:eastAsia="es-ES"/>
        </w:rPr>
        <w:t>G</w:t>
      </w:r>
      <w:r w:rsidR="001814CB">
        <w:rPr>
          <w:rFonts w:ascii="Verdana" w:hAnsi="Verdana" w:cs="Verdana"/>
          <w:b/>
          <w:bCs/>
          <w:sz w:val="24"/>
          <w:szCs w:val="24"/>
          <w:lang w:val="es-ES" w:eastAsia="es-ES"/>
        </w:rPr>
        <w:t>.A.C.</w:t>
      </w:r>
      <w:r>
        <w:rPr>
          <w:rFonts w:ascii="Verdana" w:hAnsi="Verdana" w:cs="Verdana"/>
          <w:b/>
          <w:bCs/>
          <w:sz w:val="24"/>
          <w:szCs w:val="24"/>
          <w:lang w:val="es-ES" w:eastAsia="es-ES"/>
        </w:rPr>
        <w:t xml:space="preserve"> cédula de identidad número </w:t>
      </w:r>
      <w:r w:rsidR="00354F55">
        <w:rPr>
          <w:rFonts w:ascii="Verdana" w:hAnsi="Verdana" w:cs="Verdana"/>
          <w:b/>
          <w:bCs/>
          <w:sz w:val="24"/>
          <w:szCs w:val="24"/>
          <w:lang w:val="es-ES" w:eastAsia="es-ES"/>
        </w:rPr>
        <w:t>…</w:t>
      </w:r>
      <w:r>
        <w:rPr>
          <w:rFonts w:ascii="Verdana" w:hAnsi="Verdana" w:cs="Verdana"/>
          <w:b/>
          <w:bCs/>
          <w:sz w:val="24"/>
          <w:szCs w:val="24"/>
          <w:lang w:val="es-ES" w:eastAsia="es-ES"/>
        </w:rPr>
        <w:t xml:space="preserve"> y F</w:t>
      </w:r>
      <w:r w:rsidR="001814CB">
        <w:rPr>
          <w:rFonts w:ascii="Verdana" w:hAnsi="Verdana" w:cs="Verdana"/>
          <w:b/>
          <w:bCs/>
          <w:sz w:val="24"/>
          <w:szCs w:val="24"/>
          <w:lang w:val="es-ES" w:eastAsia="es-ES"/>
        </w:rPr>
        <w:t>.A.H.</w:t>
      </w:r>
      <w:r>
        <w:rPr>
          <w:rFonts w:ascii="Verdana" w:hAnsi="Verdana" w:cs="Verdana"/>
          <w:b/>
          <w:bCs/>
          <w:sz w:val="24"/>
          <w:szCs w:val="24"/>
          <w:lang w:val="es-ES" w:eastAsia="es-ES"/>
        </w:rPr>
        <w:t xml:space="preserve"> cédula de identidad número </w:t>
      </w:r>
      <w:r w:rsidR="001814CB">
        <w:rPr>
          <w:rFonts w:ascii="Verdana" w:hAnsi="Verdana" w:cs="Verdana"/>
          <w:b/>
          <w:bCs/>
          <w:sz w:val="24"/>
          <w:szCs w:val="24"/>
          <w:lang w:val="es-ES" w:eastAsia="es-ES"/>
        </w:rPr>
        <w:t>…</w:t>
      </w:r>
      <w:r>
        <w:rPr>
          <w:rFonts w:ascii="Verdana" w:hAnsi="Verdana" w:cs="Verdana"/>
          <w:b/>
          <w:bCs/>
          <w:sz w:val="24"/>
          <w:szCs w:val="24"/>
          <w:lang w:val="es-ES" w:eastAsia="es-ES"/>
        </w:rPr>
        <w:t xml:space="preserve"> , ante el Consejo de Transporte Público.</w:t>
      </w:r>
    </w:p>
    <w:p w:rsidR="00970E72" w:rsidRPr="001814CB" w:rsidRDefault="00AD7403">
      <w:pPr>
        <w:numPr>
          <w:ilvl w:val="0"/>
          <w:numId w:val="4"/>
        </w:numPr>
        <w:kinsoku w:val="0"/>
        <w:overflowPunct w:val="0"/>
        <w:autoSpaceDE/>
        <w:autoSpaceDN/>
        <w:adjustRightInd/>
        <w:spacing w:before="293" w:after="221" w:line="298" w:lineRule="exact"/>
        <w:jc w:val="both"/>
        <w:textAlignment w:val="baseline"/>
        <w:rPr>
          <w:rFonts w:ascii="Verdana" w:hAnsi="Verdana" w:cs="Verdana"/>
          <w:sz w:val="24"/>
          <w:szCs w:val="24"/>
          <w:lang w:eastAsia="en-US"/>
        </w:rPr>
      </w:pPr>
      <w:r>
        <w:rPr>
          <w:rFonts w:ascii="Verdana" w:hAnsi="Verdana" w:cs="Verdana"/>
          <w:b/>
          <w:bCs/>
          <w:sz w:val="24"/>
          <w:szCs w:val="24"/>
          <w:lang w:val="es-ES" w:eastAsia="es-ES"/>
        </w:rPr>
        <w:t>NOTIFÍQUESE.</w:t>
      </w:r>
      <w:r>
        <w:rPr>
          <w:rFonts w:ascii="Verdana" w:hAnsi="Verdana" w:cs="Verdana"/>
          <w:b/>
          <w:bCs/>
          <w:sz w:val="24"/>
          <w:szCs w:val="24"/>
          <w:lang w:val="es-ES" w:eastAsia="es-ES"/>
        </w:rPr>
        <w:noBreakHyphen/>
      </w:r>
    </w:p>
    <w:p w:rsidR="001814CB" w:rsidRDefault="001814CB" w:rsidP="001814CB">
      <w:pPr>
        <w:kinsoku w:val="0"/>
        <w:overflowPunct w:val="0"/>
        <w:autoSpaceDE/>
        <w:autoSpaceDN/>
        <w:adjustRightInd/>
        <w:spacing w:before="293" w:after="221" w:line="298" w:lineRule="exact"/>
        <w:ind w:left="144"/>
        <w:jc w:val="both"/>
        <w:textAlignment w:val="baseline"/>
        <w:rPr>
          <w:rFonts w:ascii="Verdana" w:hAnsi="Verdana" w:cs="Verdana"/>
          <w:b/>
          <w:bCs/>
          <w:sz w:val="24"/>
          <w:szCs w:val="24"/>
          <w:lang w:val="es-ES" w:eastAsia="es-ES"/>
        </w:rPr>
      </w:pPr>
    </w:p>
    <w:p w:rsidR="001814CB" w:rsidRPr="00AE0D42" w:rsidRDefault="001814CB" w:rsidP="001814CB">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1814CB" w:rsidRPr="001814CB" w:rsidRDefault="001814CB" w:rsidP="001814CB">
      <w:pPr>
        <w:pStyle w:val="Style1"/>
        <w:kinsoku w:val="0"/>
        <w:overflowPunct w:val="0"/>
        <w:autoSpaceDE/>
        <w:autoSpaceDN/>
        <w:adjustRightInd/>
        <w:spacing w:before="100" w:beforeAutospacing="1"/>
        <w:ind w:left="74"/>
        <w:jc w:val="center"/>
        <w:textAlignment w:val="baseline"/>
        <w:rPr>
          <w:rStyle w:val="CharacterStyle1"/>
          <w:iCs/>
          <w:spacing w:val="5"/>
          <w:sz w:val="26"/>
          <w:szCs w:val="26"/>
        </w:rPr>
      </w:pPr>
      <w:r w:rsidRPr="001814CB">
        <w:rPr>
          <w:rStyle w:val="CharacterStyle1"/>
          <w:iCs/>
          <w:spacing w:val="5"/>
          <w:sz w:val="26"/>
          <w:szCs w:val="26"/>
        </w:rPr>
        <w:t>Presidente</w:t>
      </w:r>
    </w:p>
    <w:p w:rsidR="001814CB" w:rsidRPr="001814CB" w:rsidRDefault="001814CB" w:rsidP="001814CB">
      <w:pPr>
        <w:pStyle w:val="Style1"/>
        <w:kinsoku w:val="0"/>
        <w:overflowPunct w:val="0"/>
        <w:autoSpaceDE/>
        <w:autoSpaceDN/>
        <w:adjustRightInd/>
        <w:spacing w:before="100" w:beforeAutospacing="1"/>
        <w:ind w:left="74"/>
        <w:jc w:val="center"/>
        <w:textAlignment w:val="baseline"/>
        <w:rPr>
          <w:rStyle w:val="CharacterStyle1"/>
          <w:iCs/>
          <w:spacing w:val="5"/>
          <w:sz w:val="26"/>
          <w:szCs w:val="26"/>
        </w:rPr>
      </w:pPr>
    </w:p>
    <w:p w:rsidR="001814CB" w:rsidRPr="001814CB" w:rsidRDefault="001814CB" w:rsidP="001814CB">
      <w:pPr>
        <w:pStyle w:val="Style1"/>
        <w:kinsoku w:val="0"/>
        <w:overflowPunct w:val="0"/>
        <w:autoSpaceDE/>
        <w:autoSpaceDN/>
        <w:adjustRightInd/>
        <w:spacing w:before="100" w:beforeAutospacing="1"/>
        <w:ind w:left="74"/>
        <w:jc w:val="center"/>
        <w:textAlignment w:val="baseline"/>
        <w:rPr>
          <w:rStyle w:val="CharacterStyle1"/>
          <w:iCs/>
          <w:spacing w:val="5"/>
          <w:sz w:val="26"/>
          <w:szCs w:val="26"/>
        </w:rPr>
      </w:pPr>
    </w:p>
    <w:p w:rsidR="001814CB" w:rsidRPr="001814CB" w:rsidRDefault="001814CB" w:rsidP="001814CB">
      <w:pPr>
        <w:pStyle w:val="Style1"/>
        <w:kinsoku w:val="0"/>
        <w:overflowPunct w:val="0"/>
        <w:autoSpaceDE/>
        <w:autoSpaceDN/>
        <w:adjustRightInd/>
        <w:spacing w:before="100" w:beforeAutospacing="1"/>
        <w:ind w:left="74"/>
        <w:jc w:val="center"/>
        <w:textAlignment w:val="baseline"/>
        <w:rPr>
          <w:rStyle w:val="CharacterStyle1"/>
          <w:iCs/>
          <w:spacing w:val="5"/>
          <w:sz w:val="26"/>
          <w:szCs w:val="26"/>
        </w:rPr>
      </w:pPr>
    </w:p>
    <w:p w:rsidR="001814CB" w:rsidRPr="001814CB" w:rsidRDefault="001814CB" w:rsidP="001814CB">
      <w:pPr>
        <w:kinsoku w:val="0"/>
        <w:overflowPunct w:val="0"/>
        <w:autoSpaceDE/>
        <w:autoSpaceDN/>
        <w:adjustRightInd/>
        <w:ind w:right="144"/>
        <w:jc w:val="center"/>
        <w:textAlignment w:val="baseline"/>
        <w:rPr>
          <w:rStyle w:val="CharacterStyle1"/>
          <w:iCs/>
          <w:spacing w:val="5"/>
          <w:sz w:val="26"/>
          <w:szCs w:val="26"/>
        </w:rPr>
      </w:pPr>
      <w:proofErr w:type="spellStart"/>
      <w:r w:rsidRPr="001814CB">
        <w:rPr>
          <w:rStyle w:val="CharacterStyle1"/>
          <w:iCs/>
          <w:spacing w:val="5"/>
          <w:sz w:val="26"/>
          <w:szCs w:val="26"/>
        </w:rPr>
        <w:t>Licda</w:t>
      </w:r>
      <w:proofErr w:type="spellEnd"/>
      <w:r w:rsidRPr="001814CB">
        <w:rPr>
          <w:rStyle w:val="CharacterStyle1"/>
          <w:iCs/>
          <w:spacing w:val="5"/>
          <w:sz w:val="26"/>
          <w:szCs w:val="26"/>
        </w:rPr>
        <w:t xml:space="preserve">. Marta Luz Pérez </w:t>
      </w:r>
      <w:proofErr w:type="spellStart"/>
      <w:r w:rsidRPr="001814CB">
        <w:rPr>
          <w:rStyle w:val="CharacterStyle1"/>
          <w:iCs/>
          <w:spacing w:val="5"/>
          <w:sz w:val="26"/>
          <w:szCs w:val="26"/>
        </w:rPr>
        <w:t>Peláez</w:t>
      </w:r>
      <w:proofErr w:type="spellEnd"/>
      <w:r w:rsidRPr="001814CB">
        <w:rPr>
          <w:rStyle w:val="CharacterStyle1"/>
          <w:iCs/>
          <w:spacing w:val="5"/>
          <w:sz w:val="26"/>
          <w:szCs w:val="26"/>
        </w:rPr>
        <w:t xml:space="preserve">            </w:t>
      </w:r>
      <w:proofErr w:type="spellStart"/>
      <w:r w:rsidRPr="001814CB">
        <w:rPr>
          <w:rStyle w:val="CharacterStyle1"/>
          <w:iCs/>
          <w:spacing w:val="5"/>
          <w:sz w:val="26"/>
          <w:szCs w:val="26"/>
        </w:rPr>
        <w:t>Lic</w:t>
      </w:r>
      <w:proofErr w:type="spellEnd"/>
      <w:r w:rsidRPr="001814CB">
        <w:rPr>
          <w:rStyle w:val="CharacterStyle1"/>
          <w:iCs/>
          <w:spacing w:val="5"/>
          <w:sz w:val="26"/>
          <w:szCs w:val="26"/>
        </w:rPr>
        <w:t>. Mario Quesada Aguirre</w:t>
      </w:r>
    </w:p>
    <w:p w:rsidR="001814CB" w:rsidRPr="001814CB" w:rsidRDefault="001814CB" w:rsidP="001814CB">
      <w:pPr>
        <w:kinsoku w:val="0"/>
        <w:overflowPunct w:val="0"/>
        <w:autoSpaceDE/>
        <w:autoSpaceDN/>
        <w:adjustRightInd/>
        <w:ind w:right="144"/>
        <w:jc w:val="center"/>
        <w:textAlignment w:val="baseline"/>
        <w:rPr>
          <w:rStyle w:val="CharacterStyle1"/>
          <w:iCs/>
          <w:spacing w:val="5"/>
          <w:sz w:val="26"/>
          <w:szCs w:val="26"/>
        </w:rPr>
      </w:pPr>
      <w:proofErr w:type="spellStart"/>
      <w:r w:rsidRPr="001814CB">
        <w:rPr>
          <w:rStyle w:val="CharacterStyle1"/>
          <w:iCs/>
          <w:spacing w:val="5"/>
          <w:sz w:val="26"/>
          <w:szCs w:val="26"/>
        </w:rPr>
        <w:t>Juez</w:t>
      </w:r>
      <w:proofErr w:type="spellEnd"/>
      <w:r w:rsidRPr="001814CB">
        <w:rPr>
          <w:rStyle w:val="CharacterStyle1"/>
          <w:iCs/>
          <w:spacing w:val="5"/>
          <w:sz w:val="26"/>
          <w:szCs w:val="26"/>
        </w:rPr>
        <w:tab/>
      </w:r>
      <w:r w:rsidRPr="001814CB">
        <w:rPr>
          <w:rStyle w:val="CharacterStyle1"/>
          <w:iCs/>
          <w:spacing w:val="5"/>
          <w:sz w:val="26"/>
          <w:szCs w:val="26"/>
        </w:rPr>
        <w:tab/>
      </w:r>
      <w:r w:rsidRPr="001814CB">
        <w:rPr>
          <w:rStyle w:val="CharacterStyle1"/>
          <w:iCs/>
          <w:spacing w:val="5"/>
          <w:sz w:val="26"/>
          <w:szCs w:val="26"/>
        </w:rPr>
        <w:tab/>
        <w:t xml:space="preserve">                              </w:t>
      </w:r>
      <w:proofErr w:type="spellStart"/>
      <w:r w:rsidRPr="001814CB">
        <w:rPr>
          <w:rStyle w:val="CharacterStyle1"/>
          <w:iCs/>
          <w:spacing w:val="5"/>
          <w:sz w:val="26"/>
          <w:szCs w:val="26"/>
        </w:rPr>
        <w:t>Juez</w:t>
      </w:r>
      <w:proofErr w:type="spellEnd"/>
    </w:p>
    <w:p w:rsidR="001814CB" w:rsidRDefault="001814CB" w:rsidP="001814CB">
      <w:pPr>
        <w:kinsoku w:val="0"/>
        <w:overflowPunct w:val="0"/>
        <w:autoSpaceDE/>
        <w:autoSpaceDN/>
        <w:adjustRightInd/>
        <w:spacing w:before="293" w:after="221" w:line="298" w:lineRule="exact"/>
        <w:ind w:left="144"/>
        <w:jc w:val="both"/>
        <w:textAlignment w:val="baseline"/>
        <w:rPr>
          <w:rFonts w:ascii="Verdana" w:hAnsi="Verdana" w:cs="Verdana"/>
          <w:sz w:val="24"/>
          <w:szCs w:val="24"/>
          <w:lang w:eastAsia="en-US"/>
        </w:rPr>
      </w:pPr>
    </w:p>
    <w:p w:rsidR="00970E72" w:rsidRDefault="00970E72">
      <w:pPr>
        <w:kinsoku w:val="0"/>
        <w:overflowPunct w:val="0"/>
        <w:autoSpaceDE/>
        <w:autoSpaceDN/>
        <w:adjustRightInd/>
        <w:spacing w:after="152"/>
        <w:ind w:left="4261" w:right="2212"/>
        <w:textAlignment w:val="baseline"/>
        <w:rPr>
          <w:sz w:val="24"/>
          <w:szCs w:val="24"/>
        </w:rPr>
      </w:pPr>
    </w:p>
    <w:p w:rsidR="00970E72" w:rsidRDefault="00970E72">
      <w:pPr>
        <w:widowControl/>
        <w:rPr>
          <w:sz w:val="24"/>
          <w:szCs w:val="24"/>
        </w:rPr>
        <w:sectPr w:rsidR="00970E72">
          <w:pgSz w:w="12134" w:h="15840"/>
          <w:pgMar w:top="1500" w:right="1508" w:bottom="250" w:left="1566" w:header="720" w:footer="720" w:gutter="0"/>
          <w:cols w:space="720"/>
          <w:noEndnote/>
        </w:sectPr>
      </w:pPr>
    </w:p>
    <w:p w:rsidR="00AD7403" w:rsidRDefault="00AD7403" w:rsidP="001814CB">
      <w:pPr>
        <w:kinsoku w:val="0"/>
        <w:overflowPunct w:val="0"/>
        <w:autoSpaceDE/>
        <w:autoSpaceDN/>
        <w:adjustRightInd/>
        <w:spacing w:before="4" w:line="225" w:lineRule="exact"/>
        <w:textAlignment w:val="baseline"/>
        <w:rPr>
          <w:spacing w:val="2"/>
          <w:lang w:val="es-ES" w:eastAsia="es-ES"/>
        </w:rPr>
      </w:pPr>
    </w:p>
    <w:sectPr w:rsidR="00AD7403">
      <w:type w:val="continuous"/>
      <w:pgSz w:w="12134" w:h="15840"/>
      <w:pgMar w:top="1500" w:right="1573" w:bottom="250" w:left="87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259D"/>
    <w:multiLevelType w:val="singleLevel"/>
    <w:tmpl w:val="27E1967E"/>
    <w:lvl w:ilvl="0">
      <w:start w:val="1"/>
      <w:numFmt w:val="lowerLetter"/>
      <w:lvlText w:val="%1)"/>
      <w:lvlJc w:val="left"/>
      <w:pPr>
        <w:tabs>
          <w:tab w:val="num" w:pos="864"/>
        </w:tabs>
        <w:ind w:left="504"/>
      </w:pPr>
      <w:rPr>
        <w:rFonts w:ascii="Verdana" w:hAnsi="Verdana" w:cs="Verdana"/>
        <w:b/>
        <w:bCs/>
        <w:i/>
        <w:iCs/>
        <w:snapToGrid/>
        <w:sz w:val="24"/>
        <w:szCs w:val="24"/>
      </w:rPr>
    </w:lvl>
  </w:abstractNum>
  <w:abstractNum w:abstractNumId="1" w15:restartNumberingAfterBreak="0">
    <w:nsid w:val="067836B6"/>
    <w:multiLevelType w:val="singleLevel"/>
    <w:tmpl w:val="3F1772CD"/>
    <w:lvl w:ilvl="0">
      <w:start w:val="1"/>
      <w:numFmt w:val="upperRoman"/>
      <w:lvlText w:val="%1.-"/>
      <w:lvlJc w:val="left"/>
      <w:pPr>
        <w:tabs>
          <w:tab w:val="num" w:pos="720"/>
        </w:tabs>
        <w:ind w:left="144"/>
      </w:pPr>
      <w:rPr>
        <w:rFonts w:ascii="Verdana" w:hAnsi="Verdana" w:cs="Verdana"/>
        <w:snapToGrid/>
        <w:sz w:val="24"/>
        <w:szCs w:val="24"/>
      </w:rPr>
    </w:lvl>
  </w:abstractNum>
  <w:num w:numId="1">
    <w:abstractNumId w:val="0"/>
  </w:num>
  <w:num w:numId="2">
    <w:abstractNumId w:val="0"/>
    <w:lvlOverride w:ilvl="0">
      <w:lvl w:ilvl="0">
        <w:numFmt w:val="lowerLetter"/>
        <w:lvlText w:val="%1)"/>
        <w:lvlJc w:val="left"/>
        <w:pPr>
          <w:tabs>
            <w:tab w:val="num" w:pos="864"/>
          </w:tabs>
          <w:ind w:left="504"/>
        </w:pPr>
        <w:rPr>
          <w:rFonts w:ascii="Verdana" w:hAnsi="Verdana" w:cs="Verdana"/>
          <w:i/>
          <w:iCs/>
          <w:snapToGrid/>
          <w:sz w:val="24"/>
          <w:szCs w:val="24"/>
        </w:rPr>
      </w:lvl>
    </w:lvlOverride>
  </w:num>
  <w:num w:numId="3">
    <w:abstractNumId w:val="1"/>
  </w:num>
  <w:num w:numId="4">
    <w:abstractNumId w:val="1"/>
    <w:lvlOverride w:ilvl="0">
      <w:lvl w:ilvl="0">
        <w:numFmt w:val="upperRoman"/>
        <w:lvlText w:val="%1.-"/>
        <w:lvlJc w:val="left"/>
        <w:pPr>
          <w:tabs>
            <w:tab w:val="num" w:pos="720"/>
          </w:tabs>
          <w:ind w:left="144"/>
        </w:pPr>
        <w:rPr>
          <w:rFonts w:ascii="Verdana" w:hAnsi="Verdana" w:cs="Verdana"/>
          <w:b/>
          <w:bCs/>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6D"/>
    <w:rsid w:val="001814CB"/>
    <w:rsid w:val="002839DD"/>
    <w:rsid w:val="00354F55"/>
    <w:rsid w:val="007D4ED2"/>
    <w:rsid w:val="00970E72"/>
    <w:rsid w:val="009C586D"/>
    <w:rsid w:val="00AD74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814CB"/>
    <w:rPr>
      <w:lang w:val="es-CR"/>
    </w:rPr>
  </w:style>
  <w:style w:type="character" w:customStyle="1" w:styleId="CharacterStyle1">
    <w:name w:val="Character Style 1"/>
    <w:uiPriority w:val="99"/>
    <w:rsid w:val="001814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2019-09-11T15:19:00Z</dcterms:created>
  <dcterms:modified xsi:type="dcterms:W3CDTF">2019-09-11T15:19:00Z</dcterms:modified>
</cp:coreProperties>
</file>